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FFD" w:rsidRDefault="000B5FFD">
      <w:pPr>
        <w:rPr>
          <w:rFonts w:ascii="Times New Roman" w:eastAsia="Times New Roman" w:hAnsi="Times New Roman"/>
          <w:color w:val="000000"/>
          <w:sz w:val="24"/>
          <w:szCs w:val="24"/>
          <w:lang w:eastAsia="lt-LT"/>
        </w:rPr>
      </w:pPr>
    </w:p>
    <w:p w:rsidR="00ED2F8A" w:rsidRDefault="00ED2F8A" w:rsidP="00ED2F8A">
      <w:pPr>
        <w:pStyle w:val="Default"/>
        <w:jc w:val="center"/>
        <w:rPr>
          <w:b/>
          <w:bCs/>
        </w:rPr>
      </w:pPr>
    </w:p>
    <w:p w:rsidR="00ED2F8A" w:rsidRDefault="00ED2F8A" w:rsidP="00ED2F8A">
      <w:pPr>
        <w:pStyle w:val="Default"/>
        <w:jc w:val="center"/>
        <w:rPr>
          <w:b/>
          <w:bCs/>
        </w:rPr>
      </w:pPr>
    </w:p>
    <w:p w:rsidR="00ED2F8A" w:rsidRDefault="00ED2F8A" w:rsidP="00ED2F8A">
      <w:pPr>
        <w:pStyle w:val="Default"/>
        <w:jc w:val="center"/>
        <w:rPr>
          <w:b/>
          <w:bCs/>
        </w:rPr>
      </w:pPr>
    </w:p>
    <w:p w:rsidR="00ED2F8A" w:rsidRPr="00354BC8" w:rsidRDefault="00ED2F8A" w:rsidP="00ED2F8A">
      <w:pPr>
        <w:pStyle w:val="Default"/>
        <w:jc w:val="right"/>
        <w:rPr>
          <w:b/>
          <w:bCs/>
        </w:rPr>
      </w:pPr>
    </w:p>
    <w:p w:rsidR="00ED2F8A" w:rsidRDefault="00ED2F8A" w:rsidP="00ED2F8A">
      <w:pPr>
        <w:spacing w:after="0" w:line="240" w:lineRule="auto"/>
        <w:jc w:val="right"/>
        <w:rPr>
          <w:rFonts w:ascii="Times New Roman" w:eastAsia="Times New Roman" w:hAnsi="Times New Roman"/>
          <w:color w:val="000000"/>
          <w:sz w:val="24"/>
          <w:szCs w:val="24"/>
          <w:lang w:eastAsia="lt-LT"/>
        </w:rPr>
      </w:pPr>
      <w:bookmarkStart w:id="0" w:name="priedas1"/>
      <w:r w:rsidRPr="00354BC8">
        <w:rPr>
          <w:rFonts w:ascii="Times New Roman" w:eastAsia="Times New Roman" w:hAnsi="Times New Roman"/>
          <w:color w:val="000000"/>
          <w:sz w:val="24"/>
          <w:szCs w:val="24"/>
          <w:lang w:eastAsia="lt-LT"/>
        </w:rPr>
        <w:t xml:space="preserve">Mokytojų ir pagalbos mokiniui specialistų </w:t>
      </w:r>
    </w:p>
    <w:p w:rsidR="00ED2F8A" w:rsidRPr="00354BC8" w:rsidRDefault="00ED2F8A" w:rsidP="00ED2F8A">
      <w:pPr>
        <w:spacing w:after="0" w:line="240" w:lineRule="auto"/>
        <w:jc w:val="right"/>
        <w:rPr>
          <w:rFonts w:ascii="Times New Roman" w:eastAsia="Times New Roman" w:hAnsi="Times New Roman"/>
          <w:color w:val="000000"/>
          <w:sz w:val="24"/>
          <w:szCs w:val="24"/>
          <w:lang w:eastAsia="lt-LT"/>
        </w:rPr>
      </w:pPr>
      <w:r w:rsidRPr="00354BC8">
        <w:rPr>
          <w:rFonts w:ascii="Times New Roman" w:eastAsia="Times New Roman" w:hAnsi="Times New Roman"/>
          <w:color w:val="000000"/>
          <w:sz w:val="24"/>
          <w:szCs w:val="24"/>
          <w:lang w:eastAsia="lt-LT"/>
        </w:rPr>
        <w:t>(išskyrus</w:t>
      </w:r>
      <w:r>
        <w:rPr>
          <w:rFonts w:ascii="Times New Roman" w:eastAsia="Times New Roman" w:hAnsi="Times New Roman"/>
          <w:color w:val="000000"/>
          <w:sz w:val="24"/>
          <w:szCs w:val="24"/>
          <w:lang w:eastAsia="lt-LT"/>
        </w:rPr>
        <w:t xml:space="preserve"> </w:t>
      </w:r>
      <w:r w:rsidRPr="00354BC8">
        <w:rPr>
          <w:rFonts w:ascii="Times New Roman" w:eastAsia="Times New Roman" w:hAnsi="Times New Roman"/>
          <w:color w:val="000000"/>
          <w:sz w:val="24"/>
          <w:szCs w:val="24"/>
          <w:lang w:eastAsia="lt-LT"/>
        </w:rPr>
        <w:t>psichologus) atestacijos nuostatų</w:t>
      </w:r>
    </w:p>
    <w:p w:rsidR="00ED2F8A" w:rsidRPr="000E1874" w:rsidRDefault="00ED2F8A" w:rsidP="00ED2F8A">
      <w:pPr>
        <w:spacing w:after="0" w:line="240" w:lineRule="auto"/>
        <w:jc w:val="right"/>
        <w:rPr>
          <w:rFonts w:ascii="Times New Roman" w:eastAsia="Times New Roman" w:hAnsi="Times New Roman"/>
          <w:color w:val="000000"/>
          <w:sz w:val="24"/>
          <w:szCs w:val="24"/>
          <w:lang w:eastAsia="lt-LT"/>
        </w:rPr>
      </w:pPr>
      <w:r w:rsidRPr="00354BC8">
        <w:rPr>
          <w:rFonts w:ascii="Times New Roman" w:eastAsia="Times New Roman" w:hAnsi="Times New Roman"/>
          <w:color w:val="000000"/>
          <w:sz w:val="24"/>
          <w:szCs w:val="24"/>
          <w:lang w:eastAsia="lt-LT"/>
        </w:rPr>
        <w:t>1 priedas</w:t>
      </w:r>
      <w:bookmarkEnd w:id="0"/>
    </w:p>
    <w:p w:rsidR="00ED2F8A" w:rsidRDefault="00ED2F8A" w:rsidP="00ED2F8A">
      <w:pPr>
        <w:spacing w:after="0" w:line="240" w:lineRule="auto"/>
        <w:jc w:val="center"/>
        <w:rPr>
          <w:rFonts w:ascii="Times New Roman" w:eastAsia="Times New Roman" w:hAnsi="Times New Roman"/>
          <w:b/>
          <w:bCs/>
          <w:color w:val="000000"/>
          <w:sz w:val="24"/>
          <w:szCs w:val="24"/>
          <w:lang w:eastAsia="lt-LT"/>
        </w:rPr>
      </w:pPr>
    </w:p>
    <w:p w:rsidR="00ED2F8A" w:rsidRPr="00354BC8" w:rsidRDefault="00ED2F8A" w:rsidP="00ED2F8A">
      <w:pPr>
        <w:spacing w:after="0" w:line="240" w:lineRule="auto"/>
        <w:jc w:val="center"/>
        <w:rPr>
          <w:rFonts w:ascii="Times New Roman" w:hAnsi="Times New Roman"/>
          <w:b/>
          <w:bCs/>
          <w:color w:val="000000"/>
          <w:sz w:val="24"/>
          <w:szCs w:val="24"/>
        </w:rPr>
      </w:pPr>
      <w:r w:rsidRPr="00354BC8">
        <w:rPr>
          <w:rFonts w:ascii="Times New Roman" w:hAnsi="Times New Roman"/>
          <w:b/>
          <w:bCs/>
          <w:color w:val="000000"/>
          <w:sz w:val="24"/>
          <w:szCs w:val="24"/>
        </w:rPr>
        <w:t>MOKYTOJO IR PAGALBOS MOKINIUI SPECIALISTO (IŠSKYRUS PSICHOLOGĄ) VEIKLOS VERTINIMO KRITERIJAI IR PROCEDŪROS</w:t>
      </w:r>
    </w:p>
    <w:p w:rsidR="00ED2F8A" w:rsidRPr="00A225F9" w:rsidRDefault="00ED2F8A" w:rsidP="00ED2F8A">
      <w:pPr>
        <w:spacing w:after="0" w:line="240" w:lineRule="auto"/>
        <w:jc w:val="center"/>
        <w:rPr>
          <w:rFonts w:ascii="Times New Roman" w:eastAsia="Times New Roman" w:hAnsi="Times New Roman"/>
          <w:color w:val="000000"/>
          <w:sz w:val="20"/>
          <w:szCs w:val="20"/>
          <w:lang w:eastAsia="lt-LT"/>
        </w:rPr>
      </w:pPr>
    </w:p>
    <w:p w:rsidR="00ED2F8A" w:rsidRPr="000E1874" w:rsidRDefault="00ED2F8A" w:rsidP="00ED2F8A">
      <w:pPr>
        <w:spacing w:after="0" w:line="240" w:lineRule="auto"/>
        <w:jc w:val="center"/>
        <w:rPr>
          <w:rFonts w:ascii="Times New Roman" w:eastAsia="Times New Roman" w:hAnsi="Times New Roman"/>
          <w:color w:val="000000"/>
          <w:sz w:val="24"/>
          <w:szCs w:val="24"/>
          <w:lang w:eastAsia="lt-LT"/>
        </w:rPr>
      </w:pPr>
      <w:bookmarkStart w:id="1" w:name="part_9c53841c33b34dc4bfc6424aca8f874b"/>
      <w:bookmarkEnd w:id="1"/>
      <w:r w:rsidRPr="000E1874">
        <w:rPr>
          <w:rFonts w:ascii="Times New Roman" w:eastAsia="Times New Roman" w:hAnsi="Times New Roman"/>
          <w:b/>
          <w:bCs/>
          <w:color w:val="000000"/>
          <w:sz w:val="24"/>
          <w:szCs w:val="24"/>
          <w:lang w:eastAsia="lt-LT"/>
        </w:rPr>
        <w:t>I. BENDROSIOS NUOSTATOS</w:t>
      </w:r>
    </w:p>
    <w:p w:rsidR="00ED2F8A" w:rsidRPr="00A225F9" w:rsidRDefault="00ED2F8A" w:rsidP="00ED2F8A">
      <w:pPr>
        <w:spacing w:after="0" w:line="240" w:lineRule="auto"/>
        <w:rPr>
          <w:rFonts w:ascii="Times New Roman" w:eastAsia="Times New Roman" w:hAnsi="Times New Roman"/>
          <w:color w:val="000000"/>
          <w:sz w:val="20"/>
          <w:szCs w:val="20"/>
          <w:lang w:eastAsia="lt-LT"/>
        </w:rPr>
      </w:pP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2" w:name="part_86f7ab55b363415daa76f6579fe32ec1"/>
      <w:bookmarkEnd w:id="2"/>
      <w:r w:rsidRPr="00180EAE">
        <w:rPr>
          <w:rFonts w:ascii="Times New Roman" w:eastAsia="Times New Roman" w:hAnsi="Times New Roman"/>
          <w:color w:val="000000"/>
          <w:sz w:val="24"/>
          <w:szCs w:val="24"/>
          <w:lang w:eastAsia="lt-LT"/>
        </w:rPr>
        <w:t>1. Mokytojo ir pagalbos mokiniui specialisto (išskyras psichologą) (toliau kartu vadinama – mokytojas ir pagalbos mokiniui specialistas) veiklos vertinimo kriterijai ir procedūros nustato mokytojo ir pagalbos mokiniui specialisto veiklos vertinimo sritis, kriterijus bei požymius, nurodo vertinimo šaltinius, metodus ir procedūras.</w:t>
      </w: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3" w:name="part_0262a7020a344d4790939abf611091b4"/>
      <w:bookmarkEnd w:id="3"/>
      <w:r w:rsidRPr="00180EAE">
        <w:rPr>
          <w:rFonts w:ascii="Times New Roman" w:eastAsia="Times New Roman" w:hAnsi="Times New Roman"/>
          <w:color w:val="000000"/>
          <w:sz w:val="24"/>
          <w:szCs w:val="24"/>
          <w:lang w:eastAsia="lt-LT"/>
        </w:rPr>
        <w:t>2. Mokytojo ir pagalbos mokiniui specialisto ugdomosios veiklos tikslas – profesionaliai ir kokybiškai organizuoti ugdomąjį procesą skatinantį ugdytinio asmenybės raidą ir ugdymo pasiekimų pažangą užtikrinantį mokinių psichologinį ir fizinį saugumą.</w:t>
      </w: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4" w:name="part_1399ee07ef5249c3b3dda94c14e87fca"/>
      <w:bookmarkEnd w:id="4"/>
      <w:r w:rsidRPr="00180EAE">
        <w:rPr>
          <w:rFonts w:ascii="Times New Roman" w:eastAsia="Times New Roman" w:hAnsi="Times New Roman"/>
          <w:color w:val="000000"/>
          <w:sz w:val="24"/>
          <w:szCs w:val="24"/>
          <w:lang w:eastAsia="lt-LT"/>
        </w:rPr>
        <w:t>3. Atestuojamas mokytojas ar pagalbos mokiniui specialistas savo veiklą pagal nustatytus kriterijus ir požymius iliustruoja šio priedo 20 punkte nurodytais bei paties pasirinktais ugdomosios ir metodinės veiklos dokumentais, informacijos šaltiniais.</w:t>
      </w: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5" w:name="part_774db1997cba4d72b55eca26d73150a9"/>
      <w:bookmarkEnd w:id="5"/>
      <w:r w:rsidRPr="00180EAE">
        <w:rPr>
          <w:rFonts w:ascii="Times New Roman" w:eastAsia="Times New Roman" w:hAnsi="Times New Roman"/>
          <w:color w:val="000000"/>
          <w:sz w:val="24"/>
          <w:szCs w:val="24"/>
          <w:lang w:eastAsia="lt-LT"/>
        </w:rPr>
        <w:t>4. Mokytojo ar pagalbos mokiniui specialisto pateikiamą informaciją vertintojai sieja su institucijos turima audito, akreditacijos medžiaga bei kitais mokyklos dokumentais.</w:t>
      </w: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6" w:name="part_f424ee05b51442da836996b6be58d542"/>
      <w:bookmarkEnd w:id="6"/>
      <w:r w:rsidRPr="00180EAE">
        <w:rPr>
          <w:rFonts w:ascii="Times New Roman" w:eastAsia="Times New Roman" w:hAnsi="Times New Roman"/>
          <w:color w:val="000000"/>
          <w:sz w:val="24"/>
          <w:szCs w:val="24"/>
          <w:lang w:eastAsia="lt-LT"/>
        </w:rPr>
        <w:t>5. Šiame priede vartojami trumpiniai:</w:t>
      </w:r>
    </w:p>
    <w:p w:rsidR="00ED2F8A" w:rsidRPr="00180EAE"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180EAE">
        <w:rPr>
          <w:rFonts w:ascii="Times New Roman" w:eastAsia="Times New Roman" w:hAnsi="Times New Roman"/>
          <w:b/>
          <w:bCs/>
          <w:color w:val="000000"/>
          <w:sz w:val="24"/>
          <w:szCs w:val="24"/>
          <w:lang w:eastAsia="lt-LT"/>
        </w:rPr>
        <w:t>pamoka – </w:t>
      </w:r>
      <w:r w:rsidRPr="00180EAE">
        <w:rPr>
          <w:rFonts w:ascii="Times New Roman" w:eastAsia="Times New Roman" w:hAnsi="Times New Roman"/>
          <w:color w:val="000000"/>
          <w:sz w:val="24"/>
          <w:szCs w:val="24"/>
          <w:lang w:eastAsia="lt-LT"/>
        </w:rPr>
        <w:t>pamoką ugdomoji veikla, pratybos, renginys;</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180EAE">
        <w:rPr>
          <w:rFonts w:ascii="Times New Roman" w:eastAsia="Times New Roman" w:hAnsi="Times New Roman"/>
          <w:b/>
          <w:bCs/>
          <w:color w:val="000000"/>
          <w:sz w:val="24"/>
          <w:szCs w:val="24"/>
          <w:lang w:eastAsia="lt-LT"/>
        </w:rPr>
        <w:t>klasė – </w:t>
      </w:r>
      <w:r w:rsidRPr="00180EAE">
        <w:rPr>
          <w:rFonts w:ascii="Times New Roman" w:eastAsia="Times New Roman" w:hAnsi="Times New Roman"/>
          <w:color w:val="000000"/>
          <w:sz w:val="24"/>
          <w:szCs w:val="24"/>
          <w:lang w:eastAsia="lt-LT"/>
        </w:rPr>
        <w:t>bendrojo lavinimo mokyklos klasė, profesinio mokymo grupė, ikimokyklinio ar priešmokyklinio ugdymo grupė, neformaliojo švietimo grupė, mokyklos bendrabučio ar vaikų globos namų ugdytinių grupė.</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p w:rsidR="00ED2F8A" w:rsidRPr="000E1874" w:rsidRDefault="00ED2F8A" w:rsidP="00ED2F8A">
      <w:pPr>
        <w:spacing w:after="0" w:line="240" w:lineRule="auto"/>
        <w:jc w:val="center"/>
        <w:rPr>
          <w:rFonts w:ascii="Times New Roman" w:eastAsia="Times New Roman" w:hAnsi="Times New Roman"/>
          <w:color w:val="000000"/>
          <w:sz w:val="24"/>
          <w:szCs w:val="24"/>
          <w:lang w:eastAsia="lt-LT"/>
        </w:rPr>
      </w:pPr>
      <w:bookmarkStart w:id="7" w:name="part_c8a2d7f1b61b4e22a3f1f89fb834489f"/>
      <w:bookmarkEnd w:id="7"/>
      <w:r w:rsidRPr="000E1874">
        <w:rPr>
          <w:rFonts w:ascii="Times New Roman" w:eastAsia="Times New Roman" w:hAnsi="Times New Roman"/>
          <w:b/>
          <w:bCs/>
          <w:color w:val="000000"/>
          <w:sz w:val="24"/>
          <w:szCs w:val="24"/>
          <w:lang w:eastAsia="lt-LT"/>
        </w:rPr>
        <w:t>II. MOKYTOJO IR PAGALBOS MOKINIUI SPECIALISTO VEIKLOS VERTINIMAS</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b/>
          <w:bCs/>
          <w:color w:val="000000"/>
          <w:sz w:val="24"/>
          <w:szCs w:val="24"/>
          <w:lang w:eastAsia="lt-LT"/>
        </w:rPr>
        <w:t> </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8" w:name="part_37de6d9665194ec39e09fac4ddf501d1"/>
      <w:bookmarkEnd w:id="8"/>
      <w:r w:rsidRPr="000E1874">
        <w:rPr>
          <w:rFonts w:ascii="Times New Roman" w:eastAsia="Times New Roman" w:hAnsi="Times New Roman"/>
          <w:color w:val="000000"/>
          <w:sz w:val="24"/>
          <w:szCs w:val="24"/>
          <w:lang w:eastAsia="lt-LT"/>
        </w:rPr>
        <w:t>6. Mokytojo ir pagalbos mokiniui specialisto veikla pagal kiekvieną kriterijų vertinama 0–3 balais:</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3 balai – kriterijus vykdomas labai gerai;</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2 balai – kriterijus vykdomas gerai;</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1 balas – kriterijus vykdomas iš dalies;</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0 balų – kriterijus nevykdomas.</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9" w:name="part_85bae286430b43a1a5737f4adbb50e44"/>
      <w:bookmarkEnd w:id="9"/>
      <w:r w:rsidRPr="000E1874">
        <w:rPr>
          <w:rFonts w:ascii="Times New Roman" w:eastAsia="Times New Roman" w:hAnsi="Times New Roman"/>
          <w:color w:val="000000"/>
          <w:sz w:val="24"/>
          <w:szCs w:val="24"/>
          <w:lang w:eastAsia="lt-LT"/>
        </w:rPr>
        <w:t>7. Mokytojas ir pagalbos mokiniui specialistas už kiekvieną požymį iš skilties „Kiti požymiai“ gali gauti po 1-2 balus. Jie ne visi turi būti vykdomi, mokytojas ar pagalbos mokiniui specialistas juos pristato vertintojams savo nuožiūra.</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0" w:name="part_33b0b76effa74b22b486656158674583"/>
      <w:bookmarkEnd w:id="10"/>
      <w:r w:rsidRPr="000E1874">
        <w:rPr>
          <w:rFonts w:ascii="Times New Roman" w:eastAsia="Times New Roman" w:hAnsi="Times New Roman"/>
          <w:color w:val="000000"/>
          <w:sz w:val="24"/>
          <w:szCs w:val="24"/>
          <w:lang w:eastAsia="lt-LT"/>
        </w:rPr>
        <w:t xml:space="preserve">8. Atestuojamojo mokytojo ar pagalbos mokiniui specialisto kompetencija įrodoma ugdomosios veiklos rezultatais ir faktais, kurie pagrindžiami atitinkamais geriausiai veiklą </w:t>
      </w:r>
      <w:r w:rsidRPr="000E1874">
        <w:rPr>
          <w:rFonts w:ascii="Times New Roman" w:eastAsia="Times New Roman" w:hAnsi="Times New Roman"/>
          <w:color w:val="000000"/>
          <w:sz w:val="24"/>
          <w:szCs w:val="24"/>
          <w:lang w:eastAsia="lt-LT"/>
        </w:rPr>
        <w:lastRenderedPageBreak/>
        <w:t>iliustruojančiais informacijos šaltiniais: stebėtų pamokų analize, ugdomąją ir metodinę veiklą patvirtinančiais dokumentais, mokyklos audito ir/ar akreditacijos medžiaga.</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1" w:name="part_d1b8f1d3bd3c452db7f2e80e6b14d23c"/>
      <w:bookmarkEnd w:id="11"/>
      <w:r w:rsidRPr="000E1874">
        <w:rPr>
          <w:rFonts w:ascii="Times New Roman" w:eastAsia="Times New Roman" w:hAnsi="Times New Roman"/>
          <w:color w:val="000000"/>
          <w:sz w:val="24"/>
          <w:szCs w:val="24"/>
          <w:lang w:eastAsia="lt-LT"/>
        </w:rPr>
        <w:t>9. Mokytojui ar pagalbos mokiniui specialistui, pretenduojančiam įgyti atitinkamą kvalifikacinę kategoriją privalu surinkti lentelėje nurodytą balų skaičių:</w:t>
      </w:r>
    </w:p>
    <w:p w:rsidR="00ED2F8A" w:rsidRPr="00A225F9" w:rsidRDefault="00ED2F8A" w:rsidP="00ED2F8A">
      <w:pPr>
        <w:spacing w:after="0" w:line="240" w:lineRule="auto"/>
        <w:jc w:val="both"/>
        <w:rPr>
          <w:rFonts w:ascii="Times New Roman" w:eastAsia="Times New Roman" w:hAnsi="Times New Roman"/>
          <w:color w:val="000000"/>
          <w:sz w:val="18"/>
          <w:szCs w:val="18"/>
          <w:lang w:eastAsia="lt-LT"/>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92"/>
        <w:gridCol w:w="1818"/>
        <w:gridCol w:w="1819"/>
        <w:gridCol w:w="1962"/>
        <w:gridCol w:w="1819"/>
      </w:tblGrid>
      <w:tr w:rsidR="00ED2F8A" w:rsidRPr="002860DD" w:rsidTr="003475DD">
        <w:trPr>
          <w:trHeight w:val="22"/>
        </w:trPr>
        <w:tc>
          <w:tcPr>
            <w:tcW w:w="2057" w:type="dxa"/>
            <w:vMerge w:val="restart"/>
            <w:tcMar>
              <w:top w:w="0" w:type="dxa"/>
              <w:left w:w="40" w:type="dxa"/>
              <w:bottom w:w="0" w:type="dxa"/>
              <w:right w:w="40" w:type="dxa"/>
            </w:tcMar>
            <w:hideMark/>
          </w:tcPr>
          <w:p w:rsidR="00ED2F8A" w:rsidRPr="000E1874" w:rsidRDefault="00ED2F8A" w:rsidP="003475DD">
            <w:pPr>
              <w:spacing w:after="0" w:line="240" w:lineRule="auto"/>
              <w:jc w:val="right"/>
              <w:rPr>
                <w:rFonts w:ascii="Times New Roman" w:eastAsia="Times New Roman" w:hAnsi="Times New Roman"/>
                <w:sz w:val="24"/>
                <w:szCs w:val="24"/>
                <w:lang w:eastAsia="lt-LT"/>
              </w:rPr>
            </w:pPr>
            <w:r w:rsidRPr="000E1874">
              <w:rPr>
                <w:rFonts w:ascii="Times New Roman" w:eastAsia="Times New Roman" w:hAnsi="Times New Roman"/>
                <w:lang w:eastAsia="lt-LT"/>
              </w:rPr>
              <w:t>Kvalifikacinė</w:t>
            </w:r>
          </w:p>
          <w:p w:rsidR="00ED2F8A" w:rsidRPr="000E1874" w:rsidRDefault="00ED2F8A" w:rsidP="003475DD">
            <w:pPr>
              <w:spacing w:after="0" w:line="240" w:lineRule="auto"/>
              <w:jc w:val="right"/>
              <w:rPr>
                <w:rFonts w:ascii="Times New Roman" w:eastAsia="Times New Roman" w:hAnsi="Times New Roman"/>
                <w:sz w:val="24"/>
                <w:szCs w:val="24"/>
                <w:lang w:eastAsia="lt-LT"/>
              </w:rPr>
            </w:pPr>
            <w:r w:rsidRPr="000E1874">
              <w:rPr>
                <w:rFonts w:ascii="Times New Roman" w:eastAsia="Times New Roman" w:hAnsi="Times New Roman"/>
                <w:lang w:eastAsia="lt-LT"/>
              </w:rPr>
              <w:t>kategorija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Veiklos sritis</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Mokytojas, pagalbos mokiniui specialistas</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Vyresnysis mokytojas, vyresnysis pagalbos mokiniui specialistas</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Mokytojas metodininkas, pagalbos mokiniui specialistas metodininkas</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Mokytojas ekspertas, pagalbos mokiniui specialistas ekspertas</w:t>
            </w:r>
          </w:p>
        </w:tc>
      </w:tr>
      <w:tr w:rsidR="00ED2F8A" w:rsidRPr="002860DD" w:rsidTr="003475DD">
        <w:trPr>
          <w:trHeight w:val="22"/>
        </w:trPr>
        <w:tc>
          <w:tcPr>
            <w:tcW w:w="0" w:type="auto"/>
            <w:vMerge/>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r>
      <w:tr w:rsidR="00ED2F8A" w:rsidRPr="002860DD" w:rsidTr="003475DD">
        <w:trPr>
          <w:trHeight w:val="22"/>
        </w:trPr>
        <w:tc>
          <w:tcPr>
            <w:tcW w:w="2057" w:type="dxa"/>
            <w:tcMar>
              <w:top w:w="0" w:type="dxa"/>
              <w:left w:w="40" w:type="dxa"/>
              <w:bottom w:w="0" w:type="dxa"/>
              <w:right w:w="40" w:type="dxa"/>
            </w:tcMar>
            <w:hideMark/>
          </w:tcPr>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 sritis</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8–12</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13–16</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20–22</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22–24</w:t>
            </w:r>
          </w:p>
        </w:tc>
      </w:tr>
      <w:tr w:rsidR="00ED2F8A" w:rsidRPr="002860DD" w:rsidTr="003475DD">
        <w:trPr>
          <w:trHeight w:val="22"/>
        </w:trPr>
        <w:tc>
          <w:tcPr>
            <w:tcW w:w="2057" w:type="dxa"/>
            <w:tcMar>
              <w:top w:w="0" w:type="dxa"/>
              <w:left w:w="40" w:type="dxa"/>
              <w:bottom w:w="0" w:type="dxa"/>
              <w:right w:w="40" w:type="dxa"/>
            </w:tcMar>
            <w:hideMark/>
          </w:tcPr>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II sritis</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4–6</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7–10</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11–13</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13–15</w:t>
            </w:r>
          </w:p>
        </w:tc>
      </w:tr>
      <w:tr w:rsidR="00ED2F8A" w:rsidRPr="002860DD" w:rsidTr="003475DD">
        <w:trPr>
          <w:trHeight w:val="22"/>
        </w:trPr>
        <w:tc>
          <w:tcPr>
            <w:tcW w:w="2057" w:type="dxa"/>
            <w:tcMar>
              <w:top w:w="0" w:type="dxa"/>
              <w:left w:w="40" w:type="dxa"/>
              <w:bottom w:w="0" w:type="dxa"/>
              <w:right w:w="40" w:type="dxa"/>
            </w:tcMar>
            <w:hideMark/>
          </w:tcPr>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III sritis</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4–6</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6–9</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10–11</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11–12</w:t>
            </w:r>
          </w:p>
        </w:tc>
      </w:tr>
      <w:tr w:rsidR="00ED2F8A" w:rsidRPr="002860DD" w:rsidTr="003475DD">
        <w:trPr>
          <w:trHeight w:val="22"/>
        </w:trPr>
        <w:tc>
          <w:tcPr>
            <w:tcW w:w="2057" w:type="dxa"/>
            <w:tcMar>
              <w:top w:w="0" w:type="dxa"/>
              <w:left w:w="40" w:type="dxa"/>
              <w:bottom w:w="0" w:type="dxa"/>
              <w:right w:w="40" w:type="dxa"/>
            </w:tcMar>
            <w:hideMark/>
          </w:tcPr>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Kiti požymiai</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0</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6</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9</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19</w:t>
            </w:r>
          </w:p>
        </w:tc>
      </w:tr>
      <w:tr w:rsidR="00ED2F8A" w:rsidRPr="002860DD" w:rsidTr="003475DD">
        <w:trPr>
          <w:trHeight w:val="22"/>
        </w:trPr>
        <w:tc>
          <w:tcPr>
            <w:tcW w:w="2057" w:type="dxa"/>
            <w:tcMar>
              <w:top w:w="0" w:type="dxa"/>
              <w:left w:w="40" w:type="dxa"/>
              <w:bottom w:w="0" w:type="dxa"/>
              <w:right w:w="40" w:type="dxa"/>
            </w:tcMar>
            <w:hideMark/>
          </w:tcPr>
          <w:p w:rsidR="00ED2F8A" w:rsidRPr="000E1874" w:rsidRDefault="00ED2F8A" w:rsidP="003475DD">
            <w:pPr>
              <w:spacing w:after="0" w:line="22"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Iš viso balų</w:t>
            </w:r>
          </w:p>
        </w:tc>
        <w:tc>
          <w:tcPr>
            <w:tcW w:w="2017"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20</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35</w:t>
            </w:r>
          </w:p>
        </w:tc>
        <w:tc>
          <w:tcPr>
            <w:tcW w:w="2135"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50</w:t>
            </w:r>
          </w:p>
        </w:tc>
        <w:tc>
          <w:tcPr>
            <w:tcW w:w="2018" w:type="dxa"/>
            <w:tcMar>
              <w:top w:w="0" w:type="dxa"/>
              <w:left w:w="40" w:type="dxa"/>
              <w:bottom w:w="0" w:type="dxa"/>
              <w:right w:w="40" w:type="dxa"/>
            </w:tcMar>
            <w:hideMark/>
          </w:tcPr>
          <w:p w:rsidR="00ED2F8A" w:rsidRPr="000E1874" w:rsidRDefault="00ED2F8A" w:rsidP="003475DD">
            <w:pPr>
              <w:spacing w:after="0" w:line="22"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65</w:t>
            </w:r>
          </w:p>
        </w:tc>
      </w:tr>
    </w:tbl>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2" w:name="part_01a0653163e94d4dbe139938df93b229"/>
      <w:bookmarkEnd w:id="12"/>
      <w:r w:rsidRPr="000E1874">
        <w:rPr>
          <w:rFonts w:ascii="Times New Roman" w:eastAsia="Times New Roman" w:hAnsi="Times New Roman"/>
          <w:color w:val="000000"/>
          <w:sz w:val="24"/>
          <w:szCs w:val="24"/>
          <w:lang w:eastAsia="lt-LT"/>
        </w:rPr>
        <w:t>10. Socialiniam pedagogui, pretenduojančiam įgyti atitinkamą kvalifikacinę kategoriją, privalu surinkti lentelėje nurodytą balų skaičių:</w:t>
      </w:r>
    </w:p>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2"/>
        <w:gridCol w:w="1797"/>
        <w:gridCol w:w="1826"/>
        <w:gridCol w:w="1948"/>
        <w:gridCol w:w="1797"/>
      </w:tblGrid>
      <w:tr w:rsidR="00ED2F8A" w:rsidRPr="002860DD" w:rsidTr="003475DD">
        <w:trPr>
          <w:trHeight w:val="23"/>
        </w:trPr>
        <w:tc>
          <w:tcPr>
            <w:tcW w:w="2880" w:type="dxa"/>
            <w:vMerge w:val="restart"/>
            <w:tcMar>
              <w:top w:w="0" w:type="dxa"/>
              <w:left w:w="40" w:type="dxa"/>
              <w:bottom w:w="0" w:type="dxa"/>
              <w:right w:w="40" w:type="dxa"/>
            </w:tcMar>
            <w:hideMark/>
          </w:tcPr>
          <w:p w:rsidR="00ED2F8A" w:rsidRPr="000E1874" w:rsidRDefault="00ED2F8A" w:rsidP="003475DD">
            <w:pPr>
              <w:spacing w:after="0" w:line="240" w:lineRule="auto"/>
              <w:jc w:val="right"/>
              <w:rPr>
                <w:rFonts w:ascii="Times New Roman" w:eastAsia="Times New Roman" w:hAnsi="Times New Roman"/>
                <w:sz w:val="24"/>
                <w:szCs w:val="24"/>
                <w:lang w:eastAsia="lt-LT"/>
              </w:rPr>
            </w:pPr>
            <w:r w:rsidRPr="000E1874">
              <w:rPr>
                <w:rFonts w:ascii="Times New Roman" w:eastAsia="Times New Roman" w:hAnsi="Times New Roman"/>
                <w:lang w:eastAsia="lt-LT"/>
              </w:rPr>
              <w:t>Kvalifikacinė</w:t>
            </w:r>
          </w:p>
          <w:p w:rsidR="00ED2F8A" w:rsidRPr="000E1874" w:rsidRDefault="00ED2F8A" w:rsidP="003475DD">
            <w:pPr>
              <w:spacing w:after="0" w:line="240" w:lineRule="auto"/>
              <w:jc w:val="right"/>
              <w:rPr>
                <w:rFonts w:ascii="Times New Roman" w:eastAsia="Times New Roman" w:hAnsi="Times New Roman"/>
                <w:sz w:val="24"/>
                <w:szCs w:val="24"/>
                <w:lang w:eastAsia="lt-LT"/>
              </w:rPr>
            </w:pPr>
            <w:r w:rsidRPr="000E1874">
              <w:rPr>
                <w:rFonts w:ascii="Times New Roman" w:eastAsia="Times New Roman" w:hAnsi="Times New Roman"/>
                <w:lang w:eastAsia="lt-LT"/>
              </w:rPr>
              <w:t>kategorija</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Veiklos sritis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Socialinis pedagogas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Vyresnysis socialinis pedagogas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Socialinis pedagogas metodininkas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Socialinis pedagogas ekspertas</w:t>
            </w:r>
          </w:p>
        </w:tc>
      </w:tr>
      <w:tr w:rsidR="00ED2F8A" w:rsidRPr="002860DD" w:rsidTr="003475DD">
        <w:trPr>
          <w:trHeight w:val="209"/>
        </w:trPr>
        <w:tc>
          <w:tcPr>
            <w:tcW w:w="0" w:type="auto"/>
            <w:vMerge/>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Balų skaičius</w:t>
            </w:r>
          </w:p>
        </w:tc>
      </w:tr>
      <w:tr w:rsidR="00ED2F8A" w:rsidRPr="002860DD" w:rsidTr="003475DD">
        <w:trPr>
          <w:trHeight w:val="23"/>
        </w:trPr>
        <w:tc>
          <w:tcPr>
            <w:tcW w:w="288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 sritis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4–6</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6–7</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10–11</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11–12</w:t>
            </w:r>
          </w:p>
        </w:tc>
      </w:tr>
      <w:tr w:rsidR="00ED2F8A" w:rsidRPr="002860DD" w:rsidTr="003475DD">
        <w:trPr>
          <w:trHeight w:val="23"/>
        </w:trPr>
        <w:tc>
          <w:tcPr>
            <w:tcW w:w="288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II sritis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3–4</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4–5</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7–8</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8–9</w:t>
            </w:r>
          </w:p>
        </w:tc>
      </w:tr>
      <w:tr w:rsidR="00ED2F8A" w:rsidRPr="002860DD" w:rsidTr="003475DD">
        <w:trPr>
          <w:trHeight w:val="23"/>
        </w:trPr>
        <w:tc>
          <w:tcPr>
            <w:tcW w:w="288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III sritis</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3–4</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4–5</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7–8</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8–9</w:t>
            </w:r>
          </w:p>
        </w:tc>
      </w:tr>
      <w:tr w:rsidR="00ED2F8A" w:rsidRPr="002860DD" w:rsidTr="003475DD">
        <w:trPr>
          <w:trHeight w:val="23"/>
        </w:trPr>
        <w:tc>
          <w:tcPr>
            <w:tcW w:w="288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Kiti požymiai</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0</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6</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10</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14</w:t>
            </w:r>
          </w:p>
        </w:tc>
      </w:tr>
      <w:tr w:rsidR="00ED2F8A" w:rsidRPr="002860DD" w:rsidTr="003475DD">
        <w:trPr>
          <w:trHeight w:val="23"/>
        </w:trPr>
        <w:tc>
          <w:tcPr>
            <w:tcW w:w="288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Iš viso balų</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12</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21</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35</w:t>
            </w:r>
          </w:p>
        </w:tc>
        <w:tc>
          <w:tcPr>
            <w:tcW w:w="291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42</w:t>
            </w:r>
          </w:p>
        </w:tc>
      </w:tr>
    </w:tbl>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3" w:name="part_ecab2a11a5a6431c92e0faa6a34cdc5e"/>
      <w:bookmarkEnd w:id="13"/>
      <w:r w:rsidRPr="000E1874">
        <w:rPr>
          <w:rFonts w:ascii="Times New Roman" w:eastAsia="Times New Roman" w:hAnsi="Times New Roman"/>
          <w:color w:val="000000"/>
          <w:sz w:val="24"/>
          <w:szCs w:val="24"/>
          <w:lang w:eastAsia="lt-LT"/>
        </w:rPr>
        <w:t>11. Mokytojo ir pagalbos mokiniui specialisto veiklos vertinimo sričių, kriterijų ir požymių lentelė.</w:t>
      </w:r>
    </w:p>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tbl>
      <w:tblPr>
        <w:tblW w:w="0" w:type="auto"/>
        <w:tblInd w:w="40" w:type="dxa"/>
        <w:tblCellMar>
          <w:left w:w="0" w:type="dxa"/>
          <w:right w:w="0" w:type="dxa"/>
        </w:tblCellMar>
        <w:tblLook w:val="04A0" w:firstRow="1" w:lastRow="0" w:firstColumn="1" w:lastColumn="0" w:noHBand="0" w:noVBand="1"/>
      </w:tblPr>
      <w:tblGrid>
        <w:gridCol w:w="465"/>
        <w:gridCol w:w="1786"/>
        <w:gridCol w:w="7"/>
        <w:gridCol w:w="58"/>
        <w:gridCol w:w="40"/>
        <w:gridCol w:w="3998"/>
        <w:gridCol w:w="57"/>
        <w:gridCol w:w="16"/>
        <w:gridCol w:w="24"/>
        <w:gridCol w:w="2859"/>
      </w:tblGrid>
      <w:tr w:rsidR="00ED2F8A" w:rsidRPr="002860DD" w:rsidTr="003475DD">
        <w:trPr>
          <w:trHeight w:val="9"/>
        </w:trPr>
        <w:tc>
          <w:tcPr>
            <w:tcW w:w="14400" w:type="dxa"/>
            <w:gridSpan w:val="10"/>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b/>
                <w:bCs/>
                <w:lang w:eastAsia="lt-LT"/>
              </w:rPr>
              <w:t>I veiklos sritis: </w:t>
            </w:r>
            <w:r w:rsidRPr="000E1874">
              <w:rPr>
                <w:rFonts w:ascii="Times New Roman" w:eastAsia="Times New Roman" w:hAnsi="Times New Roman"/>
                <w:lang w:eastAsia="lt-LT"/>
              </w:rPr>
              <w:t>ugdomosios veiklos tikslingumas, veiksmingumas ir rezultatyvumas.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Išmano Bendrųjų programų ir išsilavinimo standartų bei kitų ugdymo turinį reglamentuojančių dokumentų esmę, dermę ir vadovaujasi jais.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planuoti ugdymo turinį ir jį įgyvendinti.</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analizuoti ugdymo kontekstą.</w:t>
            </w:r>
          </w:p>
        </w:tc>
      </w:tr>
      <w:tr w:rsidR="00ED2F8A" w:rsidRPr="002860DD" w:rsidTr="003475DD">
        <w:trPr>
          <w:trHeight w:val="9"/>
        </w:trPr>
        <w:tc>
          <w:tcPr>
            <w:tcW w:w="616" w:type="dxa"/>
            <w:tcBorders>
              <w:top w:val="single" w:sz="4" w:space="0" w:color="auto"/>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2257" w:type="dxa"/>
            <w:tcBorders>
              <w:top w:val="single" w:sz="4" w:space="0" w:color="auto"/>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7188" w:type="dxa"/>
            <w:gridSpan w:val="5"/>
            <w:tcBorders>
              <w:top w:val="single" w:sz="4" w:space="0" w:color="auto"/>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4339" w:type="dxa"/>
            <w:gridSpan w:val="3"/>
            <w:tcBorders>
              <w:top w:val="single" w:sz="4" w:space="0" w:color="auto"/>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13784" w:type="dxa"/>
            <w:gridSpan w:val="9"/>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numatyti konkrečius ugdymo tikslus ir uždavinius</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Žino mokinių socialinį kontekstą, atsižvelgia į tai organizuodamas ugdymo procesą.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Numato konkrečius ugdymo tikslus, susieja juos su ugdymo aplinka.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Aiškus ir suprantami mokiniui mokymo ir mokymosi uždaviniai siejami su mokinių veikla, rezultatais ir vertinimu.</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Pamokos rezultatai siejami su tolesniu mokymu ir mokymusi.</w:t>
            </w:r>
          </w:p>
        </w:tc>
        <w:tc>
          <w:tcPr>
            <w:tcW w:w="4440" w:type="dxa"/>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Rengia individualias/dalyko programas atsižvelgdamas į mokinių poreikius.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Taiko ugdymo metodus, kurie skatina mokinius veiklą plėtoti už institucijos ribų, paremiant mokymąsi tiriamąja kūrybine veikla.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Dėl puikių dalykinių ir metodinių žinių mokytojas yra kviečiamas dalyvauti Lietuvos Respublikos švietimo ir mokslo ministerijos sudarytose dalykinėse komisijose, darbo grupėse.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4. Dalyvauja apskrities viršininko ar/ir savivaldybės sudarytose komisijose, darbo grupėse.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5. Ugdytiniai yra įvairių olimpiadų, konkursų, varžybų ir pan. dalyviai / nugalėtojai / prizininkai / laureatai.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6. Yra papildomos ugdomosios veiklos organizatorius ar vadovas, geba derinti jos įvairovę mokinių poreikiams tenkinti.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7. Planuodamas ugdomąją veiklą panaudoja nacionalinių tyrimų rezultatus.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8. Rengia užduotis brandos egzaminams, yra valstybinių brandos egzaminų vertintojas.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9. Kita.</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1.2</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planuoti ugdymo turinį</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Planuodamas ugdymo turinį yra išsiaiškinęs mokinių mokymosi poreikius ir pasiekimus.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Veiklos/teminiai planai detalizuojami trumpesniems laikotarpiams atsižvelgiant į mokinių poreikius, pasiekimus ir konkrečius ugdymo tikslus bei uždavinius, prireikus koreguojami.</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1.3</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parinkti ir taikyti ugdymo būdus bei metodus</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Parenka mokymo(si) metodus remdamasis mokymosi uždaviniais, taiko juos atsižvelgdamas į mokinių amžių, lyties, socialinius kultūrinius skirtumus, pasirengimą, poreikius, mokymosi stilių ypatumus ir pažinimo dėsningumus.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Taiko įvairius mokymosi metodus: metodai taikomi, orientuojantis į ugdymo/pamokos tikslus ir uždavinius.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Parenka ir lanksčiai taiko įvairias mokymo ir mokymosi strategijas, skatinančias mokinius savarankiškai mokytis, kelti sau mokymosi tikslus ir ieškoti alternatyvių sprendimų, prisiimti atsakomybę už savo mokymąsi bei savarankiškai siekti ugdymosi tikslų.</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Naudoja informacines komunikacines technologijas.</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1.4</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parinkti mokymo ir mokymosi medžiagą</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Parenka mokymo(si) medžiagą ir nuosekliai pritaiko ją įvairių poreikių mokiniams.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Naudoja alternatyvius informacijos šaltinius mokymo turiniui perteikti.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Parenka užduotis ir jas diferencijuoja pagal mokinių poreikius ir galias.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Rengia ir įgyvendina klasių/dalykų integruoto ugdymo programas mokykloje.</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1.5</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atskleisti ugdymo turinį</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Suprantamai ir aiškiai perteikia ugdymo turinį atsižvelgdamas į mokinių amžių, poreikius ir galimybes.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sudominti mokinius, palaikyti aukštą mokymosi motyvaciją.</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Akademines žinias ir specifinius gebėjimus susieja su mokinių bendrųjų gebėjimų ugdymu.</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1.6</w:t>
            </w:r>
          </w:p>
        </w:tc>
        <w:tc>
          <w:tcPr>
            <w:tcW w:w="2257"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kurti ugdymo ir ugdymosi aplinką</w:t>
            </w:r>
          </w:p>
        </w:tc>
        <w:tc>
          <w:tcPr>
            <w:tcW w:w="7087"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Kuria ugdomąją aplinką ir mikroklimatą užtikrinančius mokinių sveikatą ir saugumą, skatinančius mokinius bendrauti ir bendradarbiauti.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pritaikyti aplinką įvairių poreikių mokinių veiklai skatinti; sudaro sąlygas mokinių saviraiškai ir kūrybiškumui plėtotis.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Naudoja informacines komunikacines technologijas ugdymosi aplinkai kurti.</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Valdo klasėje vykstančius procesus.</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1.7</w:t>
            </w:r>
          </w:p>
        </w:tc>
        <w:tc>
          <w:tcPr>
            <w:tcW w:w="2264"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naudoti laiką ir išteklius</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Racionaliai naudoja klasės erdvę, pamokos laiką pasirenka tinkamą tempą.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Derina mokymosi krūvius su mokinių galiomis (neperkrauna mokinių), namų užduotis tiesiogiai sieja su darbu klasėje.</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Mokymo(si) ištekliai naudojami racionaliai.</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1.8</w:t>
            </w:r>
          </w:p>
        </w:tc>
        <w:tc>
          <w:tcPr>
            <w:tcW w:w="2264"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vertinti mokinių pasiekimus</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Planuodamas ugdymą numato pasiekimų ir pažangos vertinimo formas, būdus, metodus.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Turi mokinių pasiekimų ir pažangos vertinimo sistemą derančią su išsilavinimo standartais ir</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mokykloje esančia vertinimo sistema.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Vertinimo kriterijus aptaria ir derina su mokiniais.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Vertinimas atliekamas atsižvelgiant į įvairią mokinių veiklą.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Mokiniams pateikiama aiški ir suprantama vertinimo informaciją padedanti jiems tobulinti veiklą ir plėtoti mokymąsi.</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Vertinimo rezultatus naudoja planuodamas ir koreguodamas tolesnę ugdomąją veiklą.</w:t>
            </w:r>
          </w:p>
        </w:tc>
        <w:tc>
          <w:tcPr>
            <w:tcW w:w="0" w:type="auto"/>
            <w:gridSpan w:val="4"/>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13784" w:type="dxa"/>
            <w:gridSpan w:val="9"/>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b/>
                <w:bCs/>
                <w:lang w:eastAsia="lt-LT"/>
              </w:rPr>
              <w:t>II veiklos sritis: bendravimas, bendradarbiavimas ir veikla institucijos bendruomenėje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Užmezga ir palaiko veiksmingus ryšius su mokiniais, kolegomis, tėvais, vietos bendruomenės nariais.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Supranta bendradarbiavimo su kolegomis ir kitais partneriais svarbą siekiant ugdymo tikslų. Geba savo žinias ir idėjas derinti su kitų žiniomis ir idėjomis.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Dalyvaudamas su kitais žmonėmis ir jų grupėje siekia susitarimo.</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42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2.1</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bendrauti ir bendradarbiauti</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Planuoja, organizuoja, vykdo bendrą metodinę veiklą su kitais mokytojais, pagalbos mokiniui specialistais.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 kitų mokytojų ar pagalbos mokiniui specialistų organizuojamoje metodinėje veikloje.</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Teikia metodinę pagalbą kolegoms.</w:t>
            </w:r>
          </w:p>
        </w:tc>
        <w:tc>
          <w:tcPr>
            <w:tcW w:w="4281"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Siekdamas ugdymo tikslų užmezga ir palaiko konstruktyvius santykius su socialiniais partneriais.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Sukurta savita ir veiksminga klasės auklėtojo darbo sistema.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Dalyvauja institucijos, vietos bendruomenės, mokinių ir mokytojų organizacijų veikloje.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4. Dalyvauja vertinant ir nustatant kitų institucijų mokytojų pagalbos mokiniui specialistų pretenduojančių įgyti metodininko ar eksperto kvalifikacines kategorijas, profesinę kompetenciją.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5. Rengia užduotis šalies (ar tarptautinėms) olimpiadoms, konkursams.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6. Yra savarankiškai parengęs šalies ar tarptautinio lygmens projektą ir gavo finansavimą projektui vykdyti.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7. Kita.</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2.2</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Tėvus (globėjus, rūpintojus), kolegas, institucijos administraciją informuoja apie mokinių mokymosi sėkmingumą, pasiekimus ir pažangą</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Analizuoja mokinių pasiekimus ir pažangą gautą informaciją įvairiomis formomis pateikia ir aptaria ją su mokinių tėvais (globėjais, rūpintojais), kolegomis, kitais suinteresuotais asmenimis, atsižvelgdamas į tai koreguoja ir individualizuoja ugdymą.</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Analizuoja grįžtamąją informaciją bendravimo ir bendradarbiavimo plėtojimo aspektais.</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2.3</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Dalyvauja institucijos socialiniame kultūriniame gyvenime</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Organizuoja kultūrinius, edukacinius, sporto ir kt.</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renginius.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Inicijuoja, palaiko, organizuoja, vadovauja mokinių veiklai pagal mokinių interesus ir poreikius.</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2.4</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dirbti komandoje ar/ir vadovauti jai</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 institucijos vadovo ar steigėjo (valdymo organo) teisės aktais patvirtintose darbo grupėse.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Dalyvauja/vadovauja mokyklos metodinei grupei, metodinei tarybai, savivaldybės metodiniam būreliui, dalykinei asociacijai.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Institucijos vadovo paskirtas mokytoju mentoriumi (padeda mažesnę patirtį turintiems kolegoms), vadovauja studentų praktikai.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Rengia užduotis regiono olimpiadoms, konkursams.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Rodo iniciatyvą ir aktyviai dalyvauja įvairioje institucijos bendruomenės veikloje.</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2.5</w:t>
            </w:r>
          </w:p>
        </w:tc>
        <w:tc>
          <w:tcPr>
            <w:tcW w:w="234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rengti projektus, dalyvauti juos įgyvendinant</w:t>
            </w:r>
          </w:p>
        </w:tc>
        <w:tc>
          <w:tcPr>
            <w:tcW w:w="7163" w:type="dxa"/>
            <w:gridSpan w:val="5"/>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Rengia ir vykdo ugdymo projektus institucijoje.</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Dalyvauja rengiant ir įgyvendinant šalies bei tarptautinius su ugdymu susijusius projektus.</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13784" w:type="dxa"/>
            <w:gridSpan w:val="9"/>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b/>
                <w:bCs/>
                <w:lang w:eastAsia="lt-LT"/>
              </w:rPr>
              <w:t>III veiklos sritis: asmeninis profesinis tobulėjimas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Supranta mokymosi visą gyvenimą vertę ir turi nuostatą nuolat mokytis.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rekonstruoti ir reflektuoti savo veiklą siekdamas ją tobulinti ir atpažinti savo kompetencijas.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parengti ugdomosios ir metodinės veiklos dokumentų aplanką, jį pristatyti ir vertinti. </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432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3.1</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vertinti savo veiklą/ kompetenciją ir asmeninius pasiekimus</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Įsivertina savo veiklos stipriąsias ir tobulintinas sritis, įsivertinimą aptaria su kolegomis metodinėje grupėje (taryboje).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Atsižvelgdamas į įsivertinimo rezultatus planuoja profesinį tobulėjimą.</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Ugdymo procese taiko kvalifikaciniuose renginiuose įgytas žinias ir gebėjimus, analizuoja jų poveikį savo praktinės veiklos veiksmingumui.</w:t>
            </w:r>
          </w:p>
        </w:tc>
        <w:tc>
          <w:tcPr>
            <w:tcW w:w="4320" w:type="dxa"/>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Dalyvauja tarptautiniuose renginiuose (skaito pranešimus, paskaitas, veda seminarus, vadovauja grupių darbui).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Yra Švietimo ir mokslo ministerijos aprobuoto vadovėlio autorius ar bendraautoris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Yra konsultantas, sertifikuotas mentorius, projekto koordinatorius (ne mažiau kaip 2 metai), tarptautinio lygmens sertifikatą turintis mokytojas, pagalbos mokiniui specialistas.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4. Studijuoja universitetinėje aukštojoje mokykloje pagal II–III pakopos studijų programą ir siekia įgyti papildomą kvalifikaciją.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5. Rengia ir skaito pranešimus užsienio kalba.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xml:space="preserve">6. Skaito metodines-dalykines, pedagogines paskaitas, </w:t>
            </w:r>
            <w:r w:rsidRPr="000E1874">
              <w:rPr>
                <w:rFonts w:ascii="Times New Roman" w:eastAsia="Times New Roman" w:hAnsi="Times New Roman"/>
                <w:lang w:eastAsia="lt-LT"/>
              </w:rPr>
              <w:lastRenderedPageBreak/>
              <w:t>pranešimus institucijos, miesto (rajono) ir šalies pedagogams.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7. Rengia kvalifikacijos tobulinimo programas ir dalyvauja jas įgyvendinant, veda autorinius seminarus mokytojams, pagalbos mokiniui specialistams.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8. Skaito pranešimus mokslinėse-praktinėse konferencijose miesto (rajono), apskrities, šalies pedagogams.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9. Yra parengęs metodines ir mokomąsias priemones, aprobuotas savivaldybės dalyko metodinio būrelio/ tarybos (profesijos mokytojams – ekspertų komisijos).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10. Vadovauja šalies profesinio mokymo metodinei komisijai arba yra tokios komisijos narys.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11. Kita.</w:t>
            </w: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3.2</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taikyti švietimo naujoves</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Domisi švietimo kaitos kryptimis, analizuoja ir kritiškai jas vertina.</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Švietimo naujoves įgyvendina atsižvelgdamas į kontekstą.</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3.3</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naudotis įvairiais informaciniais ir komunikaciniais šaltiniais</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atlikti įvairių rūšių informacijos paiešką žino ir naudoja tam tikras duomenų bazes.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naudotis informacija ir bendrauti užsienio kalba.</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Siekdamas ugdymo kokybės, ugdymo procese taiko informacines-komunikacines technologijas.</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3.4</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tobulinti savo kvalifikaciją</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Įvardija savo kvalifikacijos tobulinimo poreikius.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Nuolat tobulina kvalifikaciją, derindamas institucijos personalo kvalifikacijos tobulinimo strategiją ir savo poreikius.</w:t>
            </w:r>
          </w:p>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Mokosi nuotoliniu būdu.</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9"/>
        </w:trPr>
        <w:tc>
          <w:tcPr>
            <w:tcW w:w="61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 </w:t>
            </w:r>
          </w:p>
        </w:tc>
        <w:tc>
          <w:tcPr>
            <w:tcW w:w="2384"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7080"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9"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c>
          <w:tcPr>
            <w:tcW w:w="52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1980"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6"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60"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4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5040"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7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1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30"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337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r>
    </w:tbl>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p w:rsidR="00ED2F8A"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4" w:name="part_7a1037619a2743baa76917c73cadfc4b"/>
      <w:bookmarkEnd w:id="14"/>
      <w:r w:rsidRPr="000E1874">
        <w:rPr>
          <w:rFonts w:ascii="Times New Roman" w:eastAsia="Times New Roman" w:hAnsi="Times New Roman"/>
          <w:color w:val="000000"/>
          <w:sz w:val="24"/>
          <w:szCs w:val="24"/>
          <w:lang w:eastAsia="lt-LT"/>
        </w:rPr>
        <w:t>12. Socialinio pedagogo veiklos vertinimo sričių, kriterijų ir požymių lentelė.</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p>
    <w:tbl>
      <w:tblPr>
        <w:tblW w:w="0" w:type="auto"/>
        <w:tblInd w:w="40" w:type="dxa"/>
        <w:tblCellMar>
          <w:left w:w="0" w:type="dxa"/>
          <w:right w:w="0" w:type="dxa"/>
        </w:tblCellMar>
        <w:tblLook w:val="04A0" w:firstRow="1" w:lastRow="0" w:firstColumn="1" w:lastColumn="0" w:noHBand="0" w:noVBand="1"/>
      </w:tblPr>
      <w:tblGrid>
        <w:gridCol w:w="455"/>
        <w:gridCol w:w="1886"/>
        <w:gridCol w:w="4160"/>
        <w:gridCol w:w="22"/>
        <w:gridCol w:w="2777"/>
      </w:tblGrid>
      <w:tr w:rsidR="00ED2F8A" w:rsidRPr="002860DD" w:rsidTr="003475DD">
        <w:trPr>
          <w:trHeight w:val="23"/>
        </w:trPr>
        <w:tc>
          <w:tcPr>
            <w:tcW w:w="10245" w:type="dxa"/>
            <w:gridSpan w:val="5"/>
            <w:tcBorders>
              <w:top w:val="single" w:sz="4" w:space="0" w:color="auto"/>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color w:val="000000"/>
                <w:sz w:val="24"/>
                <w:szCs w:val="24"/>
                <w:lang w:eastAsia="lt-LT"/>
              </w:rPr>
              <w:t> </w:t>
            </w:r>
            <w:r w:rsidRPr="000E1874">
              <w:rPr>
                <w:rFonts w:ascii="Times New Roman" w:eastAsia="Times New Roman" w:hAnsi="Times New Roman"/>
                <w:b/>
                <w:bCs/>
                <w:lang w:eastAsia="lt-LT"/>
              </w:rPr>
              <w:t>I veiklos sritis: </w:t>
            </w:r>
            <w:r w:rsidRPr="000E1874">
              <w:rPr>
                <w:rFonts w:ascii="Times New Roman" w:eastAsia="Times New Roman" w:hAnsi="Times New Roman"/>
                <w:lang w:eastAsia="lt-LT"/>
              </w:rPr>
              <w:t>Socialinio pedagogo veiklos rezultatyvumas.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Išmano socialinio pedagogo kvalifikacinius reikalavimus bei kitų socialinio pedagogo veiklą reglamentuojančių dokumentų esmę, dermę ir vadovaujasi jais.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Planuoja socialinės pedagoginės veiklos turinį ir jį įgyvendina.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Analizuoja socialinės pedagoginės veiklos kontekstą. </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3081"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numatyti konkrečius socialinio pedagogo veiklos tikslus ir uždavinius</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Žino mokinių socialinį kontekstą atsižvelgia į tai organizuodamas socialinės pedagoginės pagalbos procesą.</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Numato konkrečius socialinės pedagoginės veiklos tikslus, susieja juos su ugdymosi aplinka ir ugdymo institucijos tikslais ir uždaviniais.</w:t>
            </w:r>
          </w:p>
        </w:tc>
        <w:tc>
          <w:tcPr>
            <w:tcW w:w="3081" w:type="dxa"/>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Dalyvauja Švietimo ir mokslo, Socialinės apsaugos ir darbo ministerijų sudarytose dalykinėse komisijose, darbo grupėse.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Dalyvauja apskrities viršininko ar/ir savivaldybės sudarytose komisijose, darbo grupėse.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Inicijuoja ir organizuoja tiriamąją veiklą institucijos bendruomenėje.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xml:space="preserve">4. Ugdytiniai dalyvauja socialinėje veikloje </w:t>
            </w:r>
            <w:r w:rsidRPr="000E1874">
              <w:rPr>
                <w:rFonts w:ascii="Times New Roman" w:eastAsia="Times New Roman" w:hAnsi="Times New Roman"/>
                <w:lang w:eastAsia="lt-LT"/>
              </w:rPr>
              <w:lastRenderedPageBreak/>
              <w:t>(konferencijose, akcijose, projektuose ir kt.).</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 </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5. Kita.</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1.2</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parengti socialinio pedagogo pagalbos ugdytiniams planus ir juos tobulinti</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Tiria ir analizuoja mokinių socialinius pedagoginius poreikius ir pasiekimus. Identifikuoja socialines pedagogines problemas.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Rengia individualias ir grupinės pagalbos programas, pagalbos ugdytiniams planus atsižvelgdamas į mokinių poreikius.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Žino mokinių socialinį kontekstą atsižvelgia į tai organizuodamas socialinės pedagoginės pagalbos procesą.</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1.3</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parinkti ir taikyti individualius ir grupinius socialinės pedagoginės pagalbos metodus</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Organizuoja ir teikia pagalbą vaikui esant krizinėms situacijoms.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Konsultuoja bendruomenės narius, sprendžiant socialines pedagogines problemas.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Ugdo mokinių socialinius ir gyvenimo įgūdžius.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Organizuoja palaikymo ir savitarpio pagalbos grupių veiklą.</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1.4</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analizuoti ir vertinti socialinių pedagoginių poveikio priemonių individui ir grupei veiksmingumą</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Numato poveikio įvertinimo būdus,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Vertinimo rezultatus naudoja planuodamas ir koreguodamas tolesnę ugdomąją veiklą.</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Rengia pagalbos priemones, rekomendacijas pedagogams, tėvams, mokiniams.</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9763"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b/>
                <w:bCs/>
                <w:lang w:eastAsia="lt-LT"/>
              </w:rPr>
              <w:t>II veiklos sritis: </w:t>
            </w:r>
            <w:r w:rsidRPr="000E1874">
              <w:rPr>
                <w:rFonts w:ascii="Times New Roman" w:eastAsia="Times New Roman" w:hAnsi="Times New Roman"/>
                <w:lang w:eastAsia="lt-LT"/>
              </w:rPr>
              <w:t>bendravimas, bendradarbiavimas institucijos bendruomenėje ir už jos ribų.</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Užmezga ir palaiko veiksmingus ryšius su kolegomis, tėvais.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Bendradarbiauja su vietos bendruomenės nariais ir socialiniais partneriais.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Supranta bendradarbiavimo su kolegomis ir kitais partneriais svarbą siekiant socialinės pedagoginės pagalbos tikslų.</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savo žinias ir idėjas derinti su kitų žiniomis ir idėjomis, siekia susitarimo grupėje.</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3081"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2.1</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bendrauti ir bendradarbiauti su kolegomis, ugdytinių tėvais</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Planuoja, organizuoja, vykdo bendrą socialinės pedagoginės pagalbos veiklą.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 kitų specialistų metodinėje veikloje institucijoje.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 socialinių pedagogų metodinėj e veikloje: rajono (miesto), apskrities, šalies lygiu.</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Diegia komandinio darbo principus, geba dirbti komandoje.</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Vykdo gerosios patirties sklaidą institucijoje, regione, šalyje.</w:t>
            </w:r>
          </w:p>
        </w:tc>
        <w:tc>
          <w:tcPr>
            <w:tcW w:w="3081" w:type="dxa"/>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Sukūręs savitą ir veiksmingą socialinio pedagogo darbo sistemą.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Dalyvauja vertinant ir nustatant kitų institucijų socialinių pedagogų, siekiančių įgyti socialinio pedagogo metodininko ar eksperto kvalifikacinę kategoriją, profesinę kompetenciją.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Yra savarankiškai parengęs šalies ar tarptautinio lygio projektą ir gavęs finansavimą projektui vykdyti.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4. Konsultuoja ir informuoja mokinius profesinės karjeros klausimais.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5. Kuria, tobuliną organizuoja ugdomąją aplinką.</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6. Kita.</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2.2</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koordinuoti socialinės pedagoginės pagalbos ugdytiniams teikimą ir socioedukacines veiklas institucijoje</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Užmezga ir palaiko konstruktyvius santykius su socialiniais partneriais.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Analizuoja grįžtamąją informaciją bendravimo ir bendradarbiavimo plėtojimo aspektais.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Telkia, organizuoja socialinės pedagoginės pagalbos komandos/prevencinės darbo grupės veiklą institucijoje.</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Dalyvauja institucijos vidaus audito (įsivertinimo), specialiojo ugdymo komisijų veikloje.</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2.3</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inicijuoti ir rengti projektus, programas bei dalyvauja juos įgyvendinant</w:t>
            </w:r>
          </w:p>
        </w:tc>
        <w:tc>
          <w:tcPr>
            <w:tcW w:w="470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Rengia ir įgyvendina socialinio ugdymo projektus institucijoje.</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Dalyvauja rengiant ir įgyvendinant šalies bei tarptautinius su socialiniu ugdymu susijusius projektus.</w:t>
            </w:r>
          </w:p>
        </w:tc>
        <w:tc>
          <w:tcPr>
            <w:tcW w:w="0" w:type="auto"/>
            <w:gridSpan w:val="2"/>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9763" w:type="dxa"/>
            <w:gridSpan w:val="4"/>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b/>
                <w:bCs/>
                <w:lang w:eastAsia="lt-LT"/>
              </w:rPr>
              <w:t>III veiklos sritis: </w:t>
            </w:r>
            <w:r w:rsidRPr="000E1874">
              <w:rPr>
                <w:rFonts w:ascii="Times New Roman" w:eastAsia="Times New Roman" w:hAnsi="Times New Roman"/>
                <w:lang w:eastAsia="lt-LT"/>
              </w:rPr>
              <w:t>asmeninis profesinis tobulėjimas ir patirties sklaida.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Supranta mokymosi visą gyvenimą vertę ir turi nuostatą nuolat mokytis.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Įsivertina ir tobulina savo veiklą.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parengti socialinės pedagoginės veiklos dokumentų aplanką jį pristatyti ir vertinti. </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 </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47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c>
          <w:tcPr>
            <w:tcW w:w="3055"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Kiti požymiai</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3.1</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vertinti savo veiklą/ kompetenciją ir asmeninius pasiekimus</w:t>
            </w:r>
          </w:p>
        </w:tc>
        <w:tc>
          <w:tcPr>
            <w:tcW w:w="47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Įsivertina savo veiklos stipriąsias ir tobulintinas sritis, įsivertinimą aptaria priskirtoje metodinėje grupėje (taryboje).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Atsižvelgdamas į įsivertinimo rezultatus, planuoja profesinį tobulėjimą.</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Ugdymo procese taiko kvalifikaciniuose renginiuose įgytas žinias ir gebėjimus, analizuoja jų poveikį savo praktinės veiklos veiksmingumui.</w:t>
            </w:r>
          </w:p>
        </w:tc>
        <w:tc>
          <w:tcPr>
            <w:tcW w:w="3055"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1. Dalyvauja tarptautiniuose renginiuose (skaito pranešimus, paskaitas, veda seminarus, vadovauja grupių darbui).</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2. Yra socialinio ir prevencinio darbo srities švietimo konsultantas, prevencinio darbo grupės narys, socialinio pedagogo praktikos vadovas, rajono (miesto), regiono, šalies projekto koordinatorius (ne mažiau kaip vienerius metus).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3. Rengia ir skaito pranešimus užsienio kalba.</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4. Skaito paskaitas, pranešimus rajono (miesto), apskrities, šalies pedagogams.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5. Rengia kvalifikacijos tobulinimo programas ir dalyvauja jas įgyvendinant, veda autorinius seminarus.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6. Skaito pranešimus mokslinėse-praktinėse konferencijose rajono (miesto), apskrities, šalies pedagogams.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7. Yra parengęs metodines rekomendacijas (aprobuotas institucijų reglamentuojančių socialinių pedagogų veiklą) šalies, rajono (miesto) socialiniams pedagogams ir mokytojams.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8. Kita.</w:t>
            </w: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3.2</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taikyti socialinio ugdymo naujoves</w:t>
            </w:r>
          </w:p>
        </w:tc>
        <w:tc>
          <w:tcPr>
            <w:tcW w:w="47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Domisi socialinio ugdymo naujovėmis, analizuoja ir kritiškai jas vertina.</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Įgyvendina atsižvelgdamas į kontekstą.</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rPr>
          <w:trHeight w:val="23"/>
        </w:trPr>
        <w:tc>
          <w:tcPr>
            <w:tcW w:w="4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3.3</w:t>
            </w:r>
          </w:p>
        </w:tc>
        <w:tc>
          <w:tcPr>
            <w:tcW w:w="1981" w:type="dxa"/>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Geba tobulinti savo kvalifikaciją</w:t>
            </w:r>
          </w:p>
        </w:tc>
        <w:tc>
          <w:tcPr>
            <w:tcW w:w="47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Įvardija savo kvalifikacijos tobulinimo poreikius.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Nuolat tobulina kvalifikaciją, derindamas savo poreikius su institucijos personalo kvalifikacijos tobulinimo poreikiais, ir strategiją.</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Mokosi nuotoliniu būdu.</w:t>
            </w:r>
          </w:p>
        </w:tc>
        <w:tc>
          <w:tcPr>
            <w:tcW w:w="0" w:type="auto"/>
            <w:vMerge/>
            <w:tcBorders>
              <w:top w:val="nil"/>
              <w:left w:val="nil"/>
              <w:bottom w:val="single" w:sz="8" w:space="0" w:color="auto"/>
              <w:right w:val="single" w:sz="8" w:space="0" w:color="auto"/>
            </w:tcBorders>
            <w:vAlign w:val="center"/>
            <w:hideMark/>
          </w:tcPr>
          <w:p w:rsidR="00ED2F8A" w:rsidRPr="000E1874" w:rsidRDefault="00ED2F8A" w:rsidP="003475DD">
            <w:pPr>
              <w:spacing w:after="0" w:line="240" w:lineRule="auto"/>
              <w:rPr>
                <w:rFonts w:ascii="Times New Roman" w:eastAsia="Times New Roman" w:hAnsi="Times New Roman"/>
                <w:sz w:val="24"/>
                <w:szCs w:val="24"/>
                <w:lang w:eastAsia="lt-LT"/>
              </w:rPr>
            </w:pPr>
          </w:p>
        </w:tc>
      </w:tr>
      <w:tr w:rsidR="00ED2F8A" w:rsidRPr="002860DD" w:rsidTr="003475DD">
        <w:tc>
          <w:tcPr>
            <w:tcW w:w="482"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1981"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4701"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26"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c>
          <w:tcPr>
            <w:tcW w:w="3055" w:type="dxa"/>
            <w:tcBorders>
              <w:top w:val="nil"/>
              <w:left w:val="nil"/>
              <w:bottom w:val="nil"/>
              <w:right w:val="nil"/>
            </w:tcBorders>
            <w:vAlign w:val="center"/>
            <w:hideMark/>
          </w:tcPr>
          <w:p w:rsidR="00ED2F8A" w:rsidRPr="000E1874" w:rsidRDefault="00ED2F8A" w:rsidP="003475DD">
            <w:pPr>
              <w:spacing w:after="0" w:line="240" w:lineRule="auto"/>
              <w:rPr>
                <w:rFonts w:ascii="Times New Roman" w:eastAsia="Times New Roman" w:hAnsi="Times New Roman"/>
                <w:sz w:val="1"/>
                <w:szCs w:val="24"/>
                <w:lang w:eastAsia="lt-LT"/>
              </w:rPr>
            </w:pPr>
          </w:p>
        </w:tc>
      </w:tr>
    </w:tbl>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p w:rsidR="00ED2F8A" w:rsidRPr="000E1874" w:rsidRDefault="00ED2F8A" w:rsidP="00ED2F8A">
      <w:pPr>
        <w:spacing w:after="0" w:line="240" w:lineRule="auto"/>
        <w:ind w:firstLine="567"/>
        <w:jc w:val="both"/>
        <w:rPr>
          <w:rFonts w:ascii="Times New Roman" w:eastAsia="Times New Roman" w:hAnsi="Times New Roman"/>
          <w:color w:val="000000"/>
          <w:sz w:val="24"/>
          <w:szCs w:val="24"/>
          <w:lang w:eastAsia="lt-LT"/>
        </w:rPr>
      </w:pPr>
      <w:bookmarkStart w:id="15" w:name="part_8cc4e9e1060a4b5fbf9937fef9fdbf01"/>
      <w:bookmarkEnd w:id="15"/>
      <w:r w:rsidRPr="000E1874">
        <w:rPr>
          <w:rFonts w:ascii="Times New Roman" w:eastAsia="Times New Roman" w:hAnsi="Times New Roman"/>
          <w:color w:val="000000"/>
          <w:sz w:val="24"/>
          <w:szCs w:val="24"/>
          <w:lang w:eastAsia="lt-LT"/>
        </w:rPr>
        <w:t>13. Koncertmeisterių ir akompaniatorių veikla vertinama pagal tas pačias 11 punkto lentelėje pateiktas Mokytojo ir pagalbos mokiniui specialisto veiklos vertinimo sritis, kriterijus ir požymius, išskyrus pirmosios veiklos srities 1.1, 1.2, 1.3 ir 1.4 kriterijus. Šioje lentelėje pateikiami keturi alternatyvūs koncertmeisterių ir akompaniatorių veiklos vertinimo kriterijai.</w:t>
      </w:r>
    </w:p>
    <w:p w:rsidR="00ED2F8A" w:rsidRPr="000E1874" w:rsidRDefault="00ED2F8A" w:rsidP="00ED2F8A">
      <w:pPr>
        <w:spacing w:after="0" w:line="240" w:lineRule="auto"/>
        <w:jc w:val="both"/>
        <w:rPr>
          <w:rFonts w:ascii="Times New Roman" w:eastAsia="Times New Roman" w:hAnsi="Times New Roman"/>
          <w:color w:val="000000"/>
          <w:sz w:val="24"/>
          <w:szCs w:val="24"/>
          <w:lang w:eastAsia="lt-LT"/>
        </w:rPr>
      </w:pPr>
      <w:r w:rsidRPr="000E1874">
        <w:rPr>
          <w:rFonts w:ascii="Times New Roman" w:eastAsia="Times New Roman" w:hAnsi="Times New Roman"/>
          <w:color w:val="000000"/>
          <w:sz w:val="24"/>
          <w:szCs w:val="24"/>
          <w:lang w:eastAsia="lt-LT"/>
        </w:rPr>
        <w:t>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2"/>
        <w:gridCol w:w="1776"/>
        <w:gridCol w:w="7042"/>
      </w:tblGrid>
      <w:tr w:rsidR="00ED2F8A" w:rsidRPr="002860DD" w:rsidTr="003475DD">
        <w:trPr>
          <w:trHeight w:val="23"/>
          <w:tblHeader/>
        </w:trPr>
        <w:tc>
          <w:tcPr>
            <w:tcW w:w="6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 </w:t>
            </w:r>
          </w:p>
        </w:tc>
        <w:tc>
          <w:tcPr>
            <w:tcW w:w="24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Kriterijai</w:t>
            </w:r>
          </w:p>
        </w:tc>
        <w:tc>
          <w:tcPr>
            <w:tcW w:w="114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b/>
                <w:bCs/>
                <w:lang w:eastAsia="lt-LT"/>
              </w:rPr>
              <w:t>Požymiai</w:t>
            </w:r>
          </w:p>
        </w:tc>
      </w:tr>
      <w:tr w:rsidR="00ED2F8A" w:rsidRPr="002860DD" w:rsidTr="003475DD">
        <w:trPr>
          <w:trHeight w:val="23"/>
        </w:trPr>
        <w:tc>
          <w:tcPr>
            <w:tcW w:w="6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1.1</w:t>
            </w:r>
          </w:p>
        </w:tc>
        <w:tc>
          <w:tcPr>
            <w:tcW w:w="240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Yra pasiekęs aukštą meninį lygį</w:t>
            </w:r>
          </w:p>
        </w:tc>
        <w:tc>
          <w:tcPr>
            <w:tcW w:w="11400" w:type="dxa"/>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meniškai atlikti įvairaus sudėtingumo kūrinius.</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atkurti įvairių epochų ir laikotarpių stilių ir žanrą.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Žino ir geba atkurti konkrečių autorių meninės kalbos ypatumus.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Meninės interpretacijos yra originalios ir pagrįstos.</w:t>
            </w:r>
          </w:p>
        </w:tc>
      </w:tr>
      <w:tr w:rsidR="00ED2F8A" w:rsidRPr="002860DD" w:rsidTr="003475DD">
        <w:trPr>
          <w:trHeight w:val="23"/>
        </w:trPr>
        <w:tc>
          <w:tcPr>
            <w:tcW w:w="6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lastRenderedPageBreak/>
              <w:t>1.2</w:t>
            </w:r>
          </w:p>
        </w:tc>
        <w:tc>
          <w:tcPr>
            <w:tcW w:w="240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Pasižymi gera kūrinių atlikimo technika</w:t>
            </w:r>
          </w:p>
        </w:tc>
        <w:tc>
          <w:tcPr>
            <w:tcW w:w="11400" w:type="dxa"/>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atlikti nežinomą muzikinį tekstą (skaitymas iš lapo).</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skaityti stambios formos orkestrinį arba chorinį kūrinį (klavyrą), prireikus ir partitūrą.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Geba transponuoti.</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Pasižymi kūrinių atlikimo ansambliškumu.</w:t>
            </w:r>
          </w:p>
        </w:tc>
      </w:tr>
      <w:tr w:rsidR="00ED2F8A" w:rsidRPr="002860DD" w:rsidTr="003475DD">
        <w:trPr>
          <w:trHeight w:val="23"/>
        </w:trPr>
        <w:tc>
          <w:tcPr>
            <w:tcW w:w="6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1.3</w:t>
            </w:r>
          </w:p>
        </w:tc>
        <w:tc>
          <w:tcPr>
            <w:tcW w:w="240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Yra sukaupęs koncertinį repertuarą</w:t>
            </w:r>
          </w:p>
        </w:tc>
        <w:tc>
          <w:tcPr>
            <w:tcW w:w="11400" w:type="dxa"/>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Žino ir geba akompanuoti pagrindinį mokomojo instrumento repertuarą.</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Žino ir geba akompanuoti įvairių instrumentų mokomuosius repertuarus.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Žino ir geba akompanuoti pagrindinį atitinkamos meno srities kolektyvo repertuarą.</w:t>
            </w:r>
          </w:p>
        </w:tc>
      </w:tr>
      <w:tr w:rsidR="00ED2F8A" w:rsidRPr="002860DD" w:rsidTr="003475DD">
        <w:trPr>
          <w:trHeight w:val="23"/>
        </w:trPr>
        <w:tc>
          <w:tcPr>
            <w:tcW w:w="600" w:type="dxa"/>
            <w:tcMar>
              <w:top w:w="0" w:type="dxa"/>
              <w:left w:w="40" w:type="dxa"/>
              <w:bottom w:w="0" w:type="dxa"/>
              <w:right w:w="40" w:type="dxa"/>
            </w:tcMar>
            <w:hideMark/>
          </w:tcPr>
          <w:p w:rsidR="00ED2F8A" w:rsidRPr="000E1874" w:rsidRDefault="00ED2F8A" w:rsidP="003475DD">
            <w:pPr>
              <w:spacing w:after="0" w:line="23" w:lineRule="atLeast"/>
              <w:jc w:val="center"/>
              <w:rPr>
                <w:rFonts w:ascii="Times New Roman" w:eastAsia="Times New Roman" w:hAnsi="Times New Roman"/>
                <w:sz w:val="24"/>
                <w:szCs w:val="24"/>
                <w:lang w:eastAsia="lt-LT"/>
              </w:rPr>
            </w:pPr>
            <w:r w:rsidRPr="000E1874">
              <w:rPr>
                <w:rFonts w:ascii="Times New Roman" w:eastAsia="Times New Roman" w:hAnsi="Times New Roman"/>
                <w:lang w:eastAsia="lt-LT"/>
              </w:rPr>
              <w:t>1.4</w:t>
            </w:r>
          </w:p>
        </w:tc>
        <w:tc>
          <w:tcPr>
            <w:tcW w:w="2400" w:type="dxa"/>
            <w:tcMar>
              <w:top w:w="0" w:type="dxa"/>
              <w:left w:w="40" w:type="dxa"/>
              <w:bottom w:w="0" w:type="dxa"/>
              <w:right w:w="40" w:type="dxa"/>
            </w:tcMar>
            <w:hideMark/>
          </w:tcPr>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Nuolat dalyvauja ir yra pasiekęs rezultatų meninėje veikloje</w:t>
            </w:r>
          </w:p>
        </w:tc>
        <w:tc>
          <w:tcPr>
            <w:tcW w:w="11400" w:type="dxa"/>
            <w:tcMar>
              <w:top w:w="0" w:type="dxa"/>
              <w:left w:w="40" w:type="dxa"/>
              <w:bottom w:w="0" w:type="dxa"/>
              <w:right w:w="40" w:type="dxa"/>
            </w:tcMar>
            <w:hideMark/>
          </w:tcPr>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Dalyvauja mokyklos meno kolektyvų koncertinėje veikloje.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Akompanuoja tarptautiniuose ir šalies konkursuose, festivaliuose, koncertuose ir kituose renginiuose, meistriškumo pamokose.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Jo atliekami kūriniai yra išleisti garso ir vaizdo laikmenose.</w:t>
            </w:r>
          </w:p>
          <w:p w:rsidR="00ED2F8A" w:rsidRPr="000E1874" w:rsidRDefault="00ED2F8A" w:rsidP="003475DD">
            <w:pPr>
              <w:spacing w:after="0" w:line="240" w:lineRule="auto"/>
              <w:rPr>
                <w:rFonts w:ascii="Times New Roman" w:eastAsia="Times New Roman" w:hAnsi="Times New Roman"/>
                <w:sz w:val="24"/>
                <w:szCs w:val="24"/>
                <w:lang w:eastAsia="lt-LT"/>
              </w:rPr>
            </w:pPr>
            <w:r w:rsidRPr="000E1874">
              <w:rPr>
                <w:rFonts w:ascii="Times New Roman" w:eastAsia="Times New Roman" w:hAnsi="Times New Roman"/>
                <w:lang w:eastAsia="lt-LT"/>
              </w:rPr>
              <w:t>Jo atliekami kūriniai yra įtraukti į televizijos ar radijo garso ir vaizdo įrašų fondus.</w:t>
            </w:r>
          </w:p>
          <w:p w:rsidR="00ED2F8A" w:rsidRPr="000E1874" w:rsidRDefault="00ED2F8A" w:rsidP="003475DD">
            <w:pPr>
              <w:spacing w:after="0" w:line="23" w:lineRule="atLeast"/>
              <w:rPr>
                <w:rFonts w:ascii="Times New Roman" w:eastAsia="Times New Roman" w:hAnsi="Times New Roman"/>
                <w:sz w:val="24"/>
                <w:szCs w:val="24"/>
                <w:lang w:eastAsia="lt-LT"/>
              </w:rPr>
            </w:pPr>
            <w:r w:rsidRPr="000E1874">
              <w:rPr>
                <w:rFonts w:ascii="Times New Roman" w:eastAsia="Times New Roman" w:hAnsi="Times New Roman"/>
                <w:lang w:eastAsia="lt-LT"/>
              </w:rPr>
              <w:t>Jo meninė ir kūrybinė veikla palankiai vertinama Lietuvos ir/ar užsienio spaudoje.</w:t>
            </w:r>
          </w:p>
        </w:tc>
      </w:tr>
    </w:tbl>
    <w:p w:rsidR="00ED2F8A" w:rsidRPr="000E1874" w:rsidRDefault="00ED2F8A" w:rsidP="00ED2F8A">
      <w:pPr>
        <w:spacing w:after="0" w:line="240" w:lineRule="auto"/>
        <w:rPr>
          <w:rFonts w:ascii="Times New Roman" w:eastAsia="Times New Roman" w:hAnsi="Times New Roman"/>
          <w:color w:val="000000"/>
          <w:sz w:val="24"/>
          <w:szCs w:val="24"/>
          <w:lang w:eastAsia="lt-LT"/>
        </w:rPr>
      </w:pPr>
      <w:r w:rsidRPr="000E1874">
        <w:rPr>
          <w:rFonts w:ascii="Times New Roman" w:eastAsia="Times New Roman" w:hAnsi="Times New Roman"/>
          <w:b/>
          <w:bCs/>
          <w:color w:val="000000"/>
          <w:sz w:val="24"/>
          <w:szCs w:val="24"/>
          <w:lang w:eastAsia="lt-LT"/>
        </w:rPr>
        <w:t> </w:t>
      </w:r>
    </w:p>
    <w:p w:rsidR="00ED2F8A" w:rsidRDefault="00ED2F8A" w:rsidP="00ED2F8A">
      <w:bookmarkStart w:id="16" w:name="part_fb56daa7b251438fb763a2a567a13797"/>
      <w:bookmarkStart w:id="17" w:name="_GoBack"/>
      <w:bookmarkEnd w:id="16"/>
      <w:bookmarkEnd w:id="17"/>
    </w:p>
    <w:sectPr w:rsidR="00ED2F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5AE"/>
    <w:rsid w:val="000B5FFD"/>
    <w:rsid w:val="00D935AE"/>
    <w:rsid w:val="00ED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E7642"/>
  <w15:chartTrackingRefBased/>
  <w15:docId w15:val="{E866931E-A654-44CA-B908-ED36A788E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5AE"/>
    <w:pPr>
      <w:spacing w:after="200" w:line="276" w:lineRule="auto"/>
    </w:pPr>
    <w:rPr>
      <w:rFonts w:ascii="Calibri" w:eastAsia="Calibri" w:hAnsi="Calibri" w:cs="Times New Roman"/>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D2F8A"/>
    <w:rPr>
      <w:color w:val="0000FF"/>
      <w:u w:val="single"/>
    </w:rPr>
  </w:style>
  <w:style w:type="paragraph" w:customStyle="1" w:styleId="Default">
    <w:name w:val="Default"/>
    <w:rsid w:val="00ED2F8A"/>
    <w:pPr>
      <w:autoSpaceDE w:val="0"/>
      <w:autoSpaceDN w:val="0"/>
      <w:adjustRightInd w:val="0"/>
      <w:spacing w:after="0" w:line="240" w:lineRule="auto"/>
    </w:pPr>
    <w:rPr>
      <w:rFonts w:ascii="Times New Roman" w:eastAsia="Calibri"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02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3241</Words>
  <Characters>18478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2</cp:revision>
  <dcterms:created xsi:type="dcterms:W3CDTF">2023-09-19T13:23:00Z</dcterms:created>
  <dcterms:modified xsi:type="dcterms:W3CDTF">2023-09-19T13:23:00Z</dcterms:modified>
</cp:coreProperties>
</file>